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Темы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День первый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 xml:space="preserve"> </w:t>
      </w:r>
      <w:r>
        <w:rPr/>
        <w:t xml:space="preserve">1. Введение в биопсийно-секционный курс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 xml:space="preserve"> </w:t>
      </w:r>
      <w:r>
        <w:rPr/>
        <w:t>Задачи, методы и организация патологоанатомической службы в Российской Федерации. Учение о диагнозе. Построение диагноза. Методология клинической диагностики. Диагноз в медицине, его виды, функции, принципы формулирования. Нозологическая единица и нозологический принцип в формулировании диагноза. Международная классификация болезней и ее применение при оформлении диагноза. Структура диагноза и диагностические категории. Патология диагностических и лечебных процедур (ятрогения) и ее отражение в Международной классификации болезней.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2. Исследование биопсийного, операционного материалов и последов. Порядок назначения н проведения патологоанатомических вскрытий трупов. Порядок проведения вскрытий трупов лиц, умерших в стационаре. Порядок проведения вскрытий трупов лиц, умерших вне стационара. Порядок проведения вскрытий трупов новорожденных и мертворожденных, детских трупов. Ответственность медицинских работников.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День второй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 xml:space="preserve">3. Техника патологоанатомического вскрытия.  Материально-техническое обеспечение вскрытия. Общие положения о технике вскрытия. Вскрытие трупов взрослых методом эвисцерации. Особенности патологоанатомического исследования трупов плодов и новорожденных. Особенности патологоанатомического вскрытия трупов лиц, умерших после хирургических вмешательств, а также интенсивной терапии и реанимации. Особенности патологоанатомического исследования трупов лиц, умерших от инфекционных заболеваний и особо опасных инфекций.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4. Порядок оформления протокола патологоанатомического вскрытия трупа. Порядок заполнения и выдачи медицинских документов, удостоверяющих случаи рождения и смерти. Медицинское свидетельство о рождении. Медицинское свидетельство о перинатальной смерти. Медицинское свидетельство о смерти.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День третий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5. Клинико-анатомические сопоставления (патологоанатомическая экспертиза). Дефекты оказания медицинской помощи — врачебные (медицинские) ошибки. Использование материалов патологоанатомических исследований в качестве критериев оценки деятельности лечебно-профилактических учреждений. Деонтологические аспекты патологоанатомической практики. Этические нормы клинико-анатомического анализа.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cs="Times New Roman" w:ascii="Times New Roman" w:hAnsi="Times New Roman"/>
          <w:bCs/>
          <w:sz w:val="24"/>
          <w:lang w:val="ro-RO"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Альтернативно-параллельный план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День первый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 xml:space="preserve">Тема: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знакомство с «Б</w:t>
      </w:r>
      <w:r>
        <w:rPr/>
        <w:t xml:space="preserve">иблиотечкой патологоанатома» (6 томов под редакцией </w:t>
      </w:r>
      <w:r>
        <w:rPr/>
        <w:t xml:space="preserve">А. </w:t>
      </w:r>
      <w:r>
        <w:rPr/>
        <w:t xml:space="preserve">Абрикосова, 103 тома — под редакцией </w:t>
      </w:r>
      <w:r>
        <w:rPr/>
        <w:t xml:space="preserve">Г. Б. </w:t>
      </w:r>
      <w:r>
        <w:rPr/>
        <w:t>Ковальского).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П</w:t>
      </w:r>
      <w:r>
        <w:rPr/>
        <w:t>осещение лабораторных кабинетов, знакомство с техникой гистологической обработки секционного и биопсийного материала.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Ч</w:t>
      </w:r>
      <w:r>
        <w:rPr/>
        <w:t>тение истории болезни, составление  патологоанатомического эпикриза, сравнение с клиническим.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День второй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П</w:t>
      </w:r>
      <w:r>
        <w:rPr/>
        <w:t>ротивоэпидемические мероприятия в патологоанатомическом отделении, костюмы для вскрытий при СПИДе, КОВИДе, чуме и ООИ.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Ознакомление с приказами МЗ по патологоанатомической службе.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 xml:space="preserve">Краткий курс истории патологической анатомии. Работы фон Вирхова, Каутского, </w:t>
      </w:r>
      <w:r>
        <w:rPr/>
        <w:t xml:space="preserve">О. </w:t>
      </w:r>
      <w:r>
        <w:rPr/>
        <w:t xml:space="preserve">Хмельницкого, </w:t>
      </w:r>
      <w:r>
        <w:rPr/>
        <w:t xml:space="preserve">В. </w:t>
      </w:r>
      <w:r>
        <w:rPr/>
        <w:t xml:space="preserve">Карева,  Ашоффа, Талалаева, </w:t>
      </w:r>
      <w:r>
        <w:rPr/>
        <w:t>А.</w:t>
      </w:r>
      <w:r>
        <w:rPr/>
        <w:t xml:space="preserve"> Абрикосова,  </w:t>
      </w:r>
      <w:r>
        <w:rPr/>
        <w:t xml:space="preserve">А. </w:t>
      </w:r>
      <w:r>
        <w:rPr/>
        <w:t xml:space="preserve">Струкова, Серова, Паукова,  Каган, </w:t>
      </w:r>
      <w:r>
        <w:rPr/>
        <w:t>Н.</w:t>
      </w:r>
      <w:r>
        <w:rPr/>
        <w:t xml:space="preserve"> Горделадзе, Автандилова, Лиознера, Бродского, Бабаевой, Непомнящих, </w:t>
      </w:r>
      <w:r>
        <w:rPr/>
        <w:t>В.</w:t>
      </w:r>
      <w:r>
        <w:rPr/>
        <w:t xml:space="preserve"> Анестиади, </w:t>
      </w:r>
      <w:r>
        <w:rPr/>
        <w:t xml:space="preserve">Д. </w:t>
      </w:r>
      <w:r>
        <w:rPr/>
        <w:t xml:space="preserve">Головина, </w:t>
      </w:r>
      <w:r>
        <w:rPr/>
        <w:t xml:space="preserve">Е. </w:t>
      </w:r>
      <w:r>
        <w:rPr/>
        <w:t xml:space="preserve">Зоты, </w:t>
      </w:r>
      <w:r>
        <w:rPr/>
        <w:t>Ю.</w:t>
      </w:r>
      <w:r>
        <w:rPr/>
        <w:t xml:space="preserve"> Криволапова, </w:t>
      </w:r>
      <w:r>
        <w:rPr/>
        <w:t xml:space="preserve">Э. </w:t>
      </w:r>
      <w:r>
        <w:rPr/>
        <w:t xml:space="preserve">Нейштадта, </w:t>
      </w:r>
      <w:r>
        <w:rPr/>
        <w:t>И.</w:t>
      </w:r>
      <w:r>
        <w:rPr/>
        <w:t xml:space="preserve"> Двораковской, Вихерта, </w:t>
      </w:r>
      <w:r>
        <w:rPr/>
        <w:t>А.</w:t>
      </w:r>
      <w:r>
        <w:rPr/>
        <w:t xml:space="preserve"> Черного, </w:t>
      </w:r>
      <w:r>
        <w:rPr/>
        <w:t>А.</w:t>
      </w:r>
      <w:r>
        <w:rPr/>
        <w:t xml:space="preserve"> Козлюка, </w:t>
      </w:r>
      <w:r>
        <w:rPr/>
        <w:t xml:space="preserve">Н. </w:t>
      </w:r>
      <w:r>
        <w:rPr/>
        <w:t xml:space="preserve">Аничкова, Подвысоцкого, Максимова, </w:t>
      </w:r>
      <w:r>
        <w:rPr/>
        <w:t xml:space="preserve">Д. </w:t>
      </w:r>
      <w:r>
        <w:rPr/>
        <w:t xml:space="preserve">Саркисова, </w:t>
      </w:r>
      <w:r>
        <w:rPr/>
        <w:t xml:space="preserve">П. П. </w:t>
      </w:r>
      <w:r>
        <w:rPr/>
        <w:t xml:space="preserve">Гусака, </w:t>
      </w:r>
      <w:r>
        <w:rPr/>
        <w:t xml:space="preserve">И. </w:t>
      </w:r>
      <w:r>
        <w:rPr/>
        <w:t xml:space="preserve">Шройта, </w:t>
      </w:r>
      <w:r>
        <w:rPr/>
        <w:t xml:space="preserve">Е. </w:t>
      </w:r>
      <w:r>
        <w:rPr/>
        <w:t xml:space="preserve">Балицкого, </w:t>
      </w:r>
      <w:r>
        <w:rPr/>
        <w:t xml:space="preserve">М. </w:t>
      </w:r>
      <w:r>
        <w:rPr/>
        <w:t xml:space="preserve">Агапова, </w:t>
      </w:r>
      <w:r>
        <w:rPr/>
        <w:t xml:space="preserve">Н. </w:t>
      </w:r>
      <w:r>
        <w:rPr/>
        <w:t xml:space="preserve">Новицкой, </w:t>
      </w:r>
      <w:r>
        <w:rPr/>
        <w:t xml:space="preserve">Н. </w:t>
      </w:r>
      <w:r>
        <w:rPr/>
        <w:t xml:space="preserve">Блюм, </w:t>
      </w:r>
      <w:r>
        <w:rPr/>
        <w:t xml:space="preserve">Н. </w:t>
      </w:r>
      <w:r>
        <w:rPr/>
        <w:t xml:space="preserve">Ницы, Байкова, </w:t>
      </w:r>
      <w:r>
        <w:rPr/>
        <w:t xml:space="preserve">Б. Ариэля, </w:t>
      </w:r>
      <w:r>
        <w:rPr/>
        <w:t>Попова.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День третий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Обсуждение некоторых современных теорий и гипотез в области патологической анатомии: структура и функции гиалуронана; современные представления о митохондриях и безмембранных оранеллах (инфламмасомы, апоптосомы, внутриядерные органеллы, тельца Кахаля, Маринеско); принципы структурных преобразований,  принципы дифференцировки: нарастание иммобилизации скелетных компонентов/структурных носителей, рассредоточение/диссипация информационных носителей, потенциализации/зипирование энергетических носителей, алгоритмы клеточных событий: эндоцитоз; функционирование тельца Бальбиани и METRO.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Ознакомление с международной классификацией болезней, травм, отравлений.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4"/>
          <w:szCs w:val="22"/>
          <w:lang w:val="ro-RO" w:eastAsia="ru-RU" w:bidi="ar-SA"/>
        </w:rPr>
        <w:t>О</w:t>
      </w:r>
      <w:r>
        <w:rPr/>
        <w:t>знакомление с методиками дистанционной передачи данных в гистопатологии; приборы и оборудование современной патогистологической лаборатории; современные методики электронной микроскопии, атомно-силовой микроскопии.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П</w:t>
      </w:r>
      <w:r>
        <w:rPr/>
        <w:t>рисутствие на вскрытии; посещение музея макропрепаратов.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>Написание протокола вскрытия. История регистрации данных вскрытия (2 недели зарисовок в средние века;  согласно приложенному бланку на 8 страницах с фотографиями органов; более радикальные протоколы (32 страницы, профессора Медведева). Меддокументация в ЮАР.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cs="Times New Roman" w:ascii="Times New Roman" w:hAnsi="Times New Roman"/>
          <w:bCs/>
          <w:sz w:val="24"/>
          <w:lang w:val="ro-RO"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cs="Times New Roman" w:ascii="Times New Roman" w:hAnsi="Times New Roman"/>
          <w:bCs/>
          <w:sz w:val="24"/>
          <w:lang w:val="ro-RO"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О</w:t>
      </w:r>
      <w:r>
        <w:rPr/>
        <w:t>бсуждение методических разработок библиотеки патологоанатома по тематике болезни сердца, болезни почек, инфекционные заболевания; обсуждение теории Чурилова о дисалгоритмозах,  пермиссивных состояниях, калий-гиперионии, клиренсе белковых комплексов.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cs="Times New Roman" w:ascii="Times New Roman" w:hAnsi="Times New Roman"/>
          <w:bCs/>
          <w:sz w:val="24"/>
          <w:lang w:val="ro-RO"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>
          <w:rFonts w:cs="Times New Roman" w:ascii="Times New Roman" w:hAnsi="Times New Roman"/>
          <w:bCs/>
          <w:sz w:val="24"/>
          <w:lang w:val="ro-RO"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lang w:val="ro-RO" w:eastAsia="ru-RU"/>
        </w:rPr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9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iltitlu">
    <w:name w:val="Stil titlu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istParagraph">
    <w:name w:val="List Paragraph"/>
    <w:basedOn w:val="Normal"/>
    <w:uiPriority w:val="34"/>
    <w:qFormat/>
    <w:rsid w:val="00834c2b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LibreOffice/7.0.6.2$Linux_X86_64 LibreOffice_project/00$Build-2</Application>
  <AppVersion>15.0000</AppVersion>
  <DocSecurity>0</DocSecurity>
  <Pages>3</Pages>
  <Words>509</Words>
  <Characters>4245</Characters>
  <CharactersWithSpaces>4743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Number3</dc:creator>
  <dc:description/>
  <dc:language>ro-RO</dc:language>
  <cp:lastModifiedBy/>
  <dcterms:modified xsi:type="dcterms:W3CDTF">2025-01-16T15:18:09Z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